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outlineLvl w:val="0"/>
        <w:rPr>
          <w:rFonts w:hint="default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沈阳市科技创新发展智库研究专项项目指南表</w:t>
      </w:r>
    </w:p>
    <w:p>
      <w:pPr>
        <w:spacing w:line="58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</w:p>
    <w:tbl>
      <w:tblPr>
        <w:tblStyle w:val="14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课题名称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集成创新资源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推进关键核心技术协同攻关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8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联系人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及联系电话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eastAsia="zh-CN"/>
              </w:rPr>
              <w:t>李鸿宾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</w:rPr>
              <w:t>18624012917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研究意义和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必要性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推进关键核心技术协同攻关，加快攻克重要领域“卡脖子”技术，是统筹高质量发展和高水平安全的迫切要求，是实现高水平科技自立自强的必由之路。推进关键核心技术攻关是一项系统工程，应进一步完善体制机制，促进各类创新资源充分整合，形成协同攻关合力，打赢关键核心技术攻坚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1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课题主要研究的方向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1.梳理国内重点城市推进关键核心技术攻关的实施路径、具体举措和支持政策。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总结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沈阳市推进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关键核心技术攻关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工作成效及不足，提出“十五五”时期的工作思路和总体目标。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3.立足“国家所需，沈阳所能”，围绕支撑产业链供应链韧性和安全水平提升这一目标，聚焦重点产业链梳理卡点问题、技术短板和发展关键，分析产业链上下游协同攻关实施路径。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提出建立协同创新体系、探索协同攻关模式的政策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措施建议，包括构建常态化攻关需求征集机制、完善“揭榜挂帅”“赛马制”等攻关方式、探索财政资金有偿使用等，推动我市在“十五五”期间突破一批“卡脖子”技术，填补一批国内空白。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课题成果拟定的形式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形成关于推进关键核心技术协同攻关的调研报告及行动计划。</w:t>
            </w:r>
          </w:p>
          <w:p>
            <w:pPr>
              <w:snapToGrid w:val="0"/>
              <w:ind w:firstLine="560" w:firstLineChars="200"/>
              <w:jc w:val="both"/>
              <w:rPr>
                <w:rFonts w:hint="default" w:eastAsia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2.咨政建议。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课题成果拟定的运用方向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通过开展课题研究，支撑沈阳市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完善科技计划体系。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课题成果重点体现的内容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梳理总结一批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全国重点副省级城市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的典型经验和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主要做法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对比分析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形成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“十五五”时期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具体的工作建议、工作目标、实施路径、依托主体等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其他需要说明的问题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无</w:t>
            </w:r>
          </w:p>
        </w:tc>
      </w:tr>
    </w:tbl>
    <w:p>
      <w:pPr>
        <w:spacing w:line="580" w:lineRule="exact"/>
        <w:jc w:val="center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/>
          <w:color w:val="auto"/>
        </w:rPr>
        <w:br w:type="page"/>
      </w:r>
    </w:p>
    <w:tbl>
      <w:tblPr>
        <w:tblStyle w:val="14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沈阳市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科技成果转化载体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建设发展策略研究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8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联系人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及联系电话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13082412268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研究意义和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必要性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科技成果转化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是推进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科技创新和产业创新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深度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融合的重要途径，其通过推动新技术、新产品商业化，促进新业态形成与发展，对新质生产力培育具有不可替代的关键作用。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概念验证中心、科技成果转化中试基地等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科技成果转化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载体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在创新体系中处于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重要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地位，是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科技成果转化和产业化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关键环节。规范科技成果转化载体建设管理是促进科技成果转化的重要举措。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6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课题主要研究的方向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1.科技成果转化载体行业综述，包括概念验证中心、科技成果转化中试基地等科技成果转化载体的概念、分类、意义、建设现状及趋势分析等。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2.沈阳市科技成果转化载体行业发展及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政策实施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现状，包括建设主体分析，科技成果转化情况分析，行业细分领域建设情况分析等。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3.建设推动科技创新成果向现实生产力转化，具备创新性、实践性、系统性和开放性的科技成果转化载体。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构建科技成果转化载体绩效评价指标体系，包括概念验证中心、科技成果转化中试基地等科技成果转化载体。提出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科技成果转化载体建设机制及路径研究，包括建设模式分析，建设路径分析。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5.结合我市成果转化载体政策实施情况提出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科技成果转化载体建设规划策略及建议，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包括行业建设条件，行业建设风险预警，行业建设价值评估，建设策略与建议等。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课题成果拟定的形式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1.政策研究报告。</w:t>
            </w:r>
          </w:p>
          <w:p>
            <w:pPr>
              <w:snapToGrid w:val="0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形成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评价报告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构建科技成果转化载体绩效评价指标体系，为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进一步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规范建设概念验证中心，科技成果转化中试基地等科技成果转化载体提供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课题成果拟定的运用方向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印发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实施政策文件或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向市委、市政府或市领导报送专报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snapToGrid w:val="0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为制定、修改、完善概念验证中心、科技成果转化中试基地相关政策提供参考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课题成果重点体现的内容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trike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trike w:val="0"/>
                <w:color w:val="000000"/>
                <w:sz w:val="28"/>
                <w:szCs w:val="28"/>
              </w:rPr>
              <w:t>形成</w:t>
            </w:r>
            <w:r>
              <w:rPr>
                <w:rFonts w:hint="eastAsia" w:ascii="仿宋_GB2312" w:hAnsi="仿宋_GB2312" w:eastAsia="仿宋_GB2312" w:cs="仿宋_GB2312"/>
                <w:strike w:val="0"/>
                <w:color w:val="000000"/>
                <w:sz w:val="28"/>
                <w:szCs w:val="28"/>
                <w:lang w:eastAsia="zh-CN"/>
              </w:rPr>
              <w:t>“十五五”时期</w:t>
            </w:r>
            <w:r>
              <w:rPr>
                <w:rFonts w:hint="eastAsia" w:ascii="仿宋_GB2312" w:hAnsi="仿宋_GB2312" w:eastAsia="仿宋_GB2312" w:cs="仿宋_GB2312"/>
                <w:strike w:val="0"/>
                <w:color w:val="000000"/>
                <w:sz w:val="28"/>
                <w:szCs w:val="28"/>
              </w:rPr>
              <w:t>具体的工作建议、工作目标、实施路径、依托主体等</w:t>
            </w:r>
            <w:r>
              <w:rPr>
                <w:rFonts w:hint="eastAsia" w:ascii="仿宋_GB2312" w:hAnsi="仿宋_GB2312" w:eastAsia="仿宋_GB2312" w:cs="仿宋_GB2312"/>
                <w:strike w:val="0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trike w:val="0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trike w:val="0"/>
                <w:color w:val="000000"/>
                <w:sz w:val="28"/>
                <w:szCs w:val="28"/>
              </w:rPr>
              <w:t>阐释论证市委、市政府关于科技工作重大决策和前瞻性研究分析结果等重点内容</w:t>
            </w:r>
            <w:r>
              <w:rPr>
                <w:rFonts w:hint="default" w:ascii="仿宋_GB2312" w:hAnsi="仿宋_GB2312" w:eastAsia="仿宋_GB2312" w:cs="仿宋_GB2312"/>
                <w:strike w:val="0"/>
                <w:color w:val="000000"/>
                <w:sz w:val="28"/>
                <w:szCs w:val="28"/>
              </w:rPr>
              <w:t>。</w:t>
            </w:r>
          </w:p>
          <w:p>
            <w:pPr>
              <w:pStyle w:val="2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其他需要说明的问题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无</w:t>
            </w:r>
          </w:p>
        </w:tc>
      </w:tr>
    </w:tbl>
    <w:tbl>
      <w:tblPr>
        <w:tblStyle w:val="14"/>
        <w:tblpPr w:leftFromText="180" w:rightFromText="180" w:vertAnchor="text" w:horzAnchor="page" w:tblpX="1628" w:tblpY="561"/>
        <w:tblOverlap w:val="never"/>
        <w:tblW w:w="8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关于沈阳市科技人才分类评价改革机制研究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联系人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及联系电话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13324043061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研究意义和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必要性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为贯彻科技部《关于开展科技人才评价改革试点的工作方案》精神，以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沈阳市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为辽宁省科技人才评价改革试点地区为契机，以“破四唯”和“立新标”为突破口，按照创新活动类型构建以创新价值、能力、贡献为导向的科技人才评价体系，引导各类科技人才人尽其才、才尽其用、用有所成，对进一步激发科技人才创新动力和活力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服务国家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高水平科技自立自强和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沈阳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lang w:eastAsia="zh-CN"/>
              </w:rPr>
              <w:t>东北亚国际化中心城市建设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十分必要。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课题主要研究的方向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lang w:eastAsia="zh-CN"/>
              </w:rPr>
              <w:t>到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2025年底，推动试点单位初步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</w:rPr>
              <w:t>构建符合科研活动特点的人才评价指标、创新评价方式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lang w:eastAsia="zh-CN"/>
              </w:rPr>
              <w:t>，为省市提供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</w:rPr>
              <w:t>可操作可复制可推广的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lang w:eastAsia="zh-CN"/>
              </w:rPr>
              <w:t>改革经验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</w:rPr>
              <w:t>，为实现高水平科技自立自强提供有力人才支撑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现状分析。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分析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国家、省科技人才评价试点开展情况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，总结沈阳市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试点单位人才评价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改革工作。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存在问题。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总结梳理沈阳市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科技人才评价存在的主要问题，包括人才分类不清、评价指标不准、评价标准单一、评价主体不明等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问题。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对策建议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。围绕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沈阳市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科技创新任务和人才队伍建设，以“评什么、谁来评、怎么评、怎么用”为着力点，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形成切实可行的对策建议，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指导试点单位深化科技人才评价改革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形成沈阳市科技人才评价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改革典型经验和制度性成果。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运用推广。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提出改革经验推广的范围、方式以及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应用把握的主要环节，确保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改革平稳有序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，激发科技人才创新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创业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的积极性和创造性。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课题成果拟定的形式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1.研究报告。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2.按照国家、省科技人才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评价改革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精神，结合我市实际，形成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科技人才评价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改革报告和资政建议。</w:t>
            </w:r>
          </w:p>
          <w:p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课题成果拟定的运用方向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支撑我市开展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高等院校、科研院所、科技型企业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中从事基础研究、应用研究和技术开发、社会公益研究、科技成果转化等不同类型的科技人员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的评价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课题成果重点体现的内容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围绕创新主体中从事基础研究、应用研究和技术开发、社会公益研究、科技成果转化等不同类型的科技人员，按照定性和定量相结合原则，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建立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评价标准，完善评价方式，精准开展评价，提高评价的科学性和有效性。重点是破四唯，扭转人才评价简单化倾向；立新标，明晰人才分类评价体系；重应用，树立正确人才评价使用导向。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其他需要说明的问题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</w:tbl>
    <w:p>
      <w:pPr>
        <w:spacing w:line="58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 xml:space="preserve"> </w:t>
      </w:r>
    </w:p>
    <w:tbl>
      <w:tblPr>
        <w:tblStyle w:val="14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课题名称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 w:eastAsia="zh-CN"/>
              </w:rPr>
              <w:t>沈阳市科技安全风险研判及对策研究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8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联系人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及联系电话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邱雅多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 w:eastAsia="zh-CN"/>
              </w:rPr>
              <w:t>13709885303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研究意义和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必要性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科技安全是国家安全体系的重要组成部分，是支撑国家安全的重要力量和基础，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 w:eastAsia="zh-CN"/>
              </w:rPr>
              <w:t>当前，沈阳市科技安全工作面临错综复杂的国际环境，不确定因素日益增多。系统梳理沈阳市科技安全风险隐患，深刻剖析问题原因，提出切实可行的防范化解举措，对于确保沈阳市科技安全，掌握科技创新主导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具有十分重要的意义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2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课题主要研究的方向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 w:eastAsia="zh-CN"/>
              </w:rPr>
              <w:t>1.把握科技安全现状。了解国内外科技安全总体发展情况，分析沈阳市科技安全现状，对重点行业领域在科技安全方面存在的短板、弱项、风险隐患进行系统梳理。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 w:eastAsia="zh-CN"/>
              </w:rPr>
              <w:t>2.开展问题剖析。形成问题清单，分门别类做好问题成因分析，深挖问题根源。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Chars="0" w:right="0" w:rightChars="0"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 w:eastAsia="zh-CN"/>
              </w:rPr>
              <w:t>3.科学确定目标。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auto"/>
                <w:lang w:val="en" w:eastAsia="zh-CN"/>
              </w:rPr>
              <w:t>通过科技安全风险研判及对策研究，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auto"/>
                <w:lang w:val="en"/>
              </w:rPr>
              <w:t>‌保障科技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auto"/>
                <w:lang w:val="en" w:eastAsia="zh-CN"/>
              </w:rPr>
              <w:t>创新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auto"/>
                <w:lang w:val="en"/>
              </w:rPr>
              <w:t>体系完整有效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auto"/>
                <w:lang w:val="en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auto"/>
                <w:lang w:val="en"/>
              </w:rPr>
              <w:t>‌核心技术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auto"/>
                <w:lang w:val="en" w:eastAsia="zh-CN"/>
              </w:rPr>
              <w:t>攻关自主可控、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auto"/>
                <w:lang w:val="en"/>
              </w:rPr>
              <w:t>安全状态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auto"/>
                <w:lang w:val="en" w:eastAsia="zh-CN"/>
              </w:rPr>
              <w:t>稳定持续，为实现高水平科技自立自强提供有力支撑。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 w:eastAsia="zh-CN"/>
              </w:rPr>
              <w:t>提出意见建议。坚持问题导向，把握内在逻辑，在提供共性经验做法的基础上，为推动沈阳市科技安全工作提出切实可行的具体举措。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 w:eastAsia="zh-CN"/>
              </w:rPr>
              <w:t>.提供决策参考。针对不断变化的科技安全形势，及时提供对策建议。</w:t>
            </w:r>
          </w:p>
          <w:p>
            <w:pPr>
              <w:pStyle w:val="2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课题成果拟定的形式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1.形成研究报告；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2.提出咨政建议；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3.针对沈阳市科技安全出现的新情况、新问题，提出应对措施。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课题成果拟定的运用方向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1.为统筹推进全市科技安全工作提出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决策依据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2.为政府部门、高校院所、科技型企事业单位等加强科技安全提供参考意见。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课题成果重点体现的内容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1.沈阳市科技安全领域存在的包括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" w:eastAsia="zh-CN"/>
              </w:rPr>
              <w:t>关键核心技术攻关、人才培育等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 w:eastAsia="zh-CN"/>
              </w:rPr>
              <w:t>方面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问题、现象及成因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 w:eastAsia="zh-CN"/>
              </w:rPr>
              <w:t>分析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2.先进国家或地区的经验做法；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3.加强沈阳市科技安全工作的建议与举措。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其他需要说明的问题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无</w:t>
            </w:r>
          </w:p>
        </w:tc>
      </w:tr>
    </w:tbl>
    <w:p>
      <w:pPr>
        <w:spacing w:line="58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</w:p>
    <w:tbl>
      <w:tblPr>
        <w:tblStyle w:val="14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课题名称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沈阳市科学技术服务业发展现状及对策研究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8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联系人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及联系电话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陈丹默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13940246353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1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研究意义和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必要性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一是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随着科技的不断进步和创新，科技服务业在促进科技成果转化与应用、推动产业结构优化升级、提升经济发展质量和效益等方面发挥着越来越重要的作用。因此，对沈阳市科技服务业的发展现状进行深入研究，有助于更好地把握科技服务业的发展趋势和市场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二是当前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沈阳市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科技服务业存在传统行业占比较大、新兴产业领域底数不清等发展短板，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通过深入研究，提出有效的对策和建议，有助于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全面摸清底数，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推动沈阳市科技服务业的健康发展。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三是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有助于提升城市的核心竞争力。作为东北地区的重要城市，沈阳市拥有丰富的科研资源和人才储备，具有发展科技服务业的潜力和优势。通过制定和实施科学的发展对策，可以进一步发挥这些优势，提升沈阳市在科技服务业领域的竞争力，推动城市转型升级和可持续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课题主要研究的方向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现状分析。对沈阳市科学技术服务业的现状进行分析，包括科技服务业的总体规模、产业结构、发展趋势等方面的描述，以及科技服务机构、人才、技术等方面的现状评估。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全面了解我市科技服务业发展现状和规模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3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问题诊断。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找准制约我市科技服务业发展的根本性问题，明确我市科技服务业发展短板。</w:t>
            </w:r>
          </w:p>
          <w:p>
            <w:pPr>
              <w:adjustRightInd w:val="0"/>
              <w:snapToGrid w:val="0"/>
              <w:spacing w:line="3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对策制定。制定切实可行的对策措施，包括加强主体培育和引进、提高创新能力、优化科技服务体系、促进科技服务与产业的深度融合等。如何改善科技服务机构的运营环境，提升服务质量，增强市场竞争力。</w:t>
            </w:r>
          </w:p>
          <w:p>
            <w:pPr>
              <w:adjustRightInd w:val="0"/>
              <w:snapToGrid w:val="0"/>
              <w:spacing w:line="3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实施策略。研究如何有效地实施策，包括政策制定、资金支持、项目推动、国际合作等方面的策略。如何建立长效机制，确保对策的可持续性和稳定性。</w:t>
            </w:r>
          </w:p>
          <w:p>
            <w:pPr>
              <w:adjustRightInd w:val="0"/>
              <w:snapToGrid w:val="0"/>
              <w:spacing w:line="3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前景展望。对沈阳市科学技术服务业的未来发展趋势进行展望，包括分析国内外科技服务业的发展趋势和市场需求，预测沈阳市科技服务业的发展方向和潜在机遇，为未来的发展提供指导和建议。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课题成果拟定的形式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形成专题报告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和咨政建议。</w:t>
            </w:r>
          </w:p>
          <w:p>
            <w:pPr>
              <w:numPr>
                <w:ilvl w:val="0"/>
                <w:numId w:val="0"/>
              </w:num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按照科技服务业九大领域，梳理形成沈阳地区有代表性的科技服务业企业清单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课题成果拟定的运用方向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为科技、产业部门推进科技服务业发展提供决策依据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为各区县（市）科技服务业企业培育和招商引资提供参考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课题成果重点体现的内容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科技服务业发展现状、存在的问题及下一步推进工作举措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napToGrid w:val="0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科技服务业重点企业清单，经营状况及发展趋势。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其他需要说明的问题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从研究成果实用性、指导实践等角度，应避免纯学术化、理论化的研究，建议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联合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相关行业协会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共同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组织开展深入调研，召开专家研讨会，形成具体可操作性的指导意见。</w:t>
            </w:r>
          </w:p>
        </w:tc>
      </w:tr>
    </w:tbl>
    <w:p>
      <w:pPr>
        <w:spacing w:line="58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/>
          <w:color w:val="auto"/>
        </w:rPr>
        <w:br w:type="page"/>
      </w:r>
    </w:p>
    <w:tbl>
      <w:tblPr>
        <w:tblStyle w:val="14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课题名称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科技支撑沈阳市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乡村振兴发展对策研究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8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联系人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及联系电话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裴亚涛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15541952777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1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研究意义和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必要性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二十大报告指出“全面推进乡村振兴，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强化农业科技和装备支撑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2024年中央一号文件再次强调“以加快农业农村现代化更好推进中国式现代化建设”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科技创新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已成为我国实施乡村振兴战略的关键环节。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沈阳市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贯彻落实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科技支撑乡村振兴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相关部署要求，已取得了阶段性成果，但仍存在农村科技创新能力不够、乡村产业结构单一产业链条不够完整、传统观念束缚创新等问题，因此，开展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科技支撑沈阳市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乡村振兴发展模式研究具有重要意义。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2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课题主要研究的方向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现状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分析。以沈阳市9个涉农区县为研究范围，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通过调研了解农业科技攻关、科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技特派、校地共建等多种科技支撑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乡村振兴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发展方式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，归纳分析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不同科技支撑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乡村振兴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发展模式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所存在的问题，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并深挖问题存在的根源。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对策建议。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侧重在打通乡村振兴需求端渠道，建立供需合作机制提出对策建议。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如何加大政策支持和财政投入。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加强制约乡村振兴产业发展的应用技术研究和科技推广服务支持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加强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适应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农村新产业、新业态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乡村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全面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振兴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培养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，推广和宣传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先进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农业技术，提高村民生产经营能力。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结合不同禀赋和发展方向总结核心产业适用规律。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构建理论模式及推广。结合实践调研和案例分析，总结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构建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沈阳市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乡村振兴发展的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典型科技支撑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模式，并积极进行推广。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课题成果拟定的形式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1.研究报告。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2.农业科技相关政策措施建议。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课题成果拟定的运用方向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形成《促进沈阳市科技支撑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乡村振兴发展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的对策建议》，为进一步深化科技支撑乡村振兴发展工作提供参考。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8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课题成果重点体现的内容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调查和评估当前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科技支撑乡村振兴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沈阳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的实际运行情况，揭示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科技创新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推动乡村振兴所取得的成效和存在的问题，分析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制约科技支撑乡村振兴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的深层次原因。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在现状调研基础上，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有针对性地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提出对策建议。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总结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科技支撑乡村振兴的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规律，构建农业科技攻关、科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技特派、校地共建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农业科技支撑乡村振兴发展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模式，为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沈阳市科技创新助力乡村振兴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发展提供可行的政策和行动方案。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其他需要说明的问题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</w:tbl>
    <w:p>
      <w:pPr>
        <w:spacing w:line="580" w:lineRule="exact"/>
        <w:jc w:val="center"/>
        <w:rPr>
          <w:rFonts w:ascii="宋体" w:hAnsi="宋体" w:cs="宋体"/>
          <w:b/>
          <w:bCs/>
          <w:color w:val="auto"/>
          <w:sz w:val="44"/>
          <w:szCs w:val="44"/>
        </w:rPr>
      </w:pPr>
    </w:p>
    <w:tbl>
      <w:tblPr>
        <w:tblStyle w:val="14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课题名称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沈阳市国际科技合作现状及发展对策研究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8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联系人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及联系电话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陈宏宇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13700046167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4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研究意义和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必要性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国际科技合作是科技创新体系的重要组成部分，是提高创新能力、提升创新效能、优化创新生态、促进转型升级的重要力量。“十五五”时期是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辽宁省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加快创建具有全国影响力的区域科技创新中心的关键阶段，对沈阳市新时期国际科技合作工作提出了新要求新挑战，因此，强化“十五五”时期沈阳国际科技创新合作的顶层谋划，对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沈阳市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充分释放开放创新效能，强力支撑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东北亚国际化中心城市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建设，具有重要意义。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1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课题主要研究的方向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科技领域国际合作是东北亚国际化中心城市建设的重要内容，通过对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  <w:t>我市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国际科技合作工作的研究，推动我市创新主体更好地参与全球科技创新资源链接。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详细了解和分析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全国、全省、沈阳市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国际科技合作基础、现状及优势。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梳理总结“十四五”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沈阳市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国际科技合作成果。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研判目前国内外科技发展情况及国际科技合作形势。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3.分析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沈阳市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国际科技合作面临的挑战及差距。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4.明确“十五五”时期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沈阳市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国际科技合作发展思路与目标。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5.制定“十五五”时期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沈阳市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国际科技合作采取的具体应对措施和重点工作任务。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6.提出确保实现工作目标应提供的保障措施。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课题成果拟定的形式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形成沈阳市国际科技创新合作专题研究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咨政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建议报告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snapToGrid w:val="0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制定沈阳市国际科技合作行动方案。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课题成果拟定的运用方向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沈阳市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研究制定国际科技合作相关政策措施提供依据。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课题成果重点体现的内容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通过对沈阳市国际科技合作情况进行详细摸底调研，与其他先进地区对比分析，梳理总结“十四五”时期沈阳市国际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技合作成果，分析沈阳市国际科技合作现状及面临的问题和需求，围绕东北亚国际化中心城市建设总体目标，从优化开放合作环境、参与全球科技治理、畅通国际交流渠道、搭建创新合作平台、集聚国际顶尖人才、落实“一带一路”科技创新行动计划、发起和参与国际大科学计划（工程）、吸引国际科技组织落户等角度提出沈阳“十五五”时期开展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际科技合作的主要目标和重点工作任务。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其他需要说明的问题</w:t>
            </w:r>
          </w:p>
        </w:tc>
        <w:tc>
          <w:tcPr>
            <w:tcW w:w="6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无</w:t>
            </w:r>
          </w:p>
        </w:tc>
      </w:tr>
    </w:tbl>
    <w:p>
      <w:pPr>
        <w:spacing w:line="580" w:lineRule="exact"/>
        <w:jc w:val="both"/>
        <w:rPr>
          <w:rFonts w:hint="eastAsia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CB6541-A6AA-4EDC-9A2D-F3EBA0E1EE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CC9E526-9D22-402F-9775-A805AE28B69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AFD3355-7B66-4297-98BB-DF3BE4E856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BS7+n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19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C4"/>
    <w:rsid w:val="000238BF"/>
    <w:rsid w:val="00083E80"/>
    <w:rsid w:val="000A76F7"/>
    <w:rsid w:val="003C4E92"/>
    <w:rsid w:val="004805EA"/>
    <w:rsid w:val="004A57CD"/>
    <w:rsid w:val="00583A29"/>
    <w:rsid w:val="005E0D07"/>
    <w:rsid w:val="00610BF1"/>
    <w:rsid w:val="006B7FC4"/>
    <w:rsid w:val="006E24AA"/>
    <w:rsid w:val="00730009"/>
    <w:rsid w:val="008172D0"/>
    <w:rsid w:val="009270C7"/>
    <w:rsid w:val="00985D2B"/>
    <w:rsid w:val="009B3CB4"/>
    <w:rsid w:val="00B877BD"/>
    <w:rsid w:val="00B90C97"/>
    <w:rsid w:val="00C34F04"/>
    <w:rsid w:val="00F71C37"/>
    <w:rsid w:val="00F87B01"/>
    <w:rsid w:val="00F964F4"/>
    <w:rsid w:val="040C6A6B"/>
    <w:rsid w:val="059932AC"/>
    <w:rsid w:val="0C904F19"/>
    <w:rsid w:val="0DDEB18D"/>
    <w:rsid w:val="0F3D48C9"/>
    <w:rsid w:val="0FE5F4F6"/>
    <w:rsid w:val="0FF74622"/>
    <w:rsid w:val="0FF7702C"/>
    <w:rsid w:val="0FFA1939"/>
    <w:rsid w:val="13BF18BC"/>
    <w:rsid w:val="13E67096"/>
    <w:rsid w:val="13EF32B1"/>
    <w:rsid w:val="13F267AB"/>
    <w:rsid w:val="140D6797"/>
    <w:rsid w:val="1464693E"/>
    <w:rsid w:val="16237D6F"/>
    <w:rsid w:val="16D81174"/>
    <w:rsid w:val="17C66C6E"/>
    <w:rsid w:val="18E51560"/>
    <w:rsid w:val="194734A4"/>
    <w:rsid w:val="19F459F1"/>
    <w:rsid w:val="1AD734D7"/>
    <w:rsid w:val="1B3501FE"/>
    <w:rsid w:val="1C992F77"/>
    <w:rsid w:val="1D3D40AD"/>
    <w:rsid w:val="1F110E24"/>
    <w:rsid w:val="1F5D4E9E"/>
    <w:rsid w:val="1FBB608E"/>
    <w:rsid w:val="22DF973A"/>
    <w:rsid w:val="23C31FB6"/>
    <w:rsid w:val="2566A73F"/>
    <w:rsid w:val="2757B72F"/>
    <w:rsid w:val="28C77AC9"/>
    <w:rsid w:val="2BCE3E0A"/>
    <w:rsid w:val="2CDF7A6F"/>
    <w:rsid w:val="2CFD8CE4"/>
    <w:rsid w:val="2DB9AFE9"/>
    <w:rsid w:val="2DDE357F"/>
    <w:rsid w:val="2E161C4A"/>
    <w:rsid w:val="2E7B1833"/>
    <w:rsid w:val="2F5E8C44"/>
    <w:rsid w:val="2F7F5FC8"/>
    <w:rsid w:val="2FEBF673"/>
    <w:rsid w:val="2FFE8C90"/>
    <w:rsid w:val="30BE72F2"/>
    <w:rsid w:val="336DA8FA"/>
    <w:rsid w:val="33FFE1D6"/>
    <w:rsid w:val="34AF556E"/>
    <w:rsid w:val="3737A172"/>
    <w:rsid w:val="374908CE"/>
    <w:rsid w:val="37BB7B9A"/>
    <w:rsid w:val="37EB2C5A"/>
    <w:rsid w:val="393BBB09"/>
    <w:rsid w:val="3A775B28"/>
    <w:rsid w:val="3AFF4ED2"/>
    <w:rsid w:val="3B4F3608"/>
    <w:rsid w:val="3B6F1BB6"/>
    <w:rsid w:val="3BFF9513"/>
    <w:rsid w:val="3CF78D42"/>
    <w:rsid w:val="3CF81612"/>
    <w:rsid w:val="3D629DA1"/>
    <w:rsid w:val="3D724905"/>
    <w:rsid w:val="3DFDE2BD"/>
    <w:rsid w:val="3E7F4591"/>
    <w:rsid w:val="3EAB0813"/>
    <w:rsid w:val="3EDD57D4"/>
    <w:rsid w:val="3EF4983B"/>
    <w:rsid w:val="3EF757C9"/>
    <w:rsid w:val="3EFF7FC5"/>
    <w:rsid w:val="3F979387"/>
    <w:rsid w:val="3FDB95A2"/>
    <w:rsid w:val="3FEAEE7B"/>
    <w:rsid w:val="3FFBCE98"/>
    <w:rsid w:val="3FFC41E6"/>
    <w:rsid w:val="4348021F"/>
    <w:rsid w:val="45FF2A9A"/>
    <w:rsid w:val="46BF6A4A"/>
    <w:rsid w:val="47FFF222"/>
    <w:rsid w:val="4A3B255A"/>
    <w:rsid w:val="4A6F4C2B"/>
    <w:rsid w:val="4AF62C56"/>
    <w:rsid w:val="4BDA790E"/>
    <w:rsid w:val="4D7853F8"/>
    <w:rsid w:val="4DFB5F54"/>
    <w:rsid w:val="4E7D85DD"/>
    <w:rsid w:val="4E9FDF62"/>
    <w:rsid w:val="4F2FC9BC"/>
    <w:rsid w:val="4FED35AA"/>
    <w:rsid w:val="4FEE6720"/>
    <w:rsid w:val="4FFDCDFE"/>
    <w:rsid w:val="4FFEA221"/>
    <w:rsid w:val="4FFF0866"/>
    <w:rsid w:val="4FFFA010"/>
    <w:rsid w:val="504D3319"/>
    <w:rsid w:val="527BC20C"/>
    <w:rsid w:val="52BE19D3"/>
    <w:rsid w:val="54BB4AB8"/>
    <w:rsid w:val="56093013"/>
    <w:rsid w:val="56FB1FC8"/>
    <w:rsid w:val="576EBAD6"/>
    <w:rsid w:val="57AECA17"/>
    <w:rsid w:val="57BA1E8F"/>
    <w:rsid w:val="57EDAC39"/>
    <w:rsid w:val="57F3FE53"/>
    <w:rsid w:val="58FA78FF"/>
    <w:rsid w:val="5B6FF4EA"/>
    <w:rsid w:val="5BBCA5D3"/>
    <w:rsid w:val="5BBD52D5"/>
    <w:rsid w:val="5BBEC69B"/>
    <w:rsid w:val="5CB85FBE"/>
    <w:rsid w:val="5D65DE72"/>
    <w:rsid w:val="5D6F1CB5"/>
    <w:rsid w:val="5D8F6E09"/>
    <w:rsid w:val="5DEADE3D"/>
    <w:rsid w:val="5EB6B1BB"/>
    <w:rsid w:val="5F0C6B1C"/>
    <w:rsid w:val="5FB6396C"/>
    <w:rsid w:val="5FCB68B4"/>
    <w:rsid w:val="5FFA581B"/>
    <w:rsid w:val="5FFDAEA1"/>
    <w:rsid w:val="60323A76"/>
    <w:rsid w:val="60F4653D"/>
    <w:rsid w:val="61DFB5B8"/>
    <w:rsid w:val="61F31CC9"/>
    <w:rsid w:val="62E661A1"/>
    <w:rsid w:val="63051831"/>
    <w:rsid w:val="64DE67DD"/>
    <w:rsid w:val="657F8A06"/>
    <w:rsid w:val="65DF08E1"/>
    <w:rsid w:val="67970D20"/>
    <w:rsid w:val="67A50C7D"/>
    <w:rsid w:val="67DED6D3"/>
    <w:rsid w:val="67FF8AA5"/>
    <w:rsid w:val="6859279A"/>
    <w:rsid w:val="68C41A78"/>
    <w:rsid w:val="6B27918C"/>
    <w:rsid w:val="6B2F71E0"/>
    <w:rsid w:val="6B7F9C5E"/>
    <w:rsid w:val="6BBE61CB"/>
    <w:rsid w:val="6D5773CF"/>
    <w:rsid w:val="6DFBEB17"/>
    <w:rsid w:val="6E33CAC1"/>
    <w:rsid w:val="6E7FA659"/>
    <w:rsid w:val="6EBE268C"/>
    <w:rsid w:val="6ED721D7"/>
    <w:rsid w:val="6EDF4593"/>
    <w:rsid w:val="6EFA2ABD"/>
    <w:rsid w:val="6F0F5FAB"/>
    <w:rsid w:val="6F370254"/>
    <w:rsid w:val="6F3F3553"/>
    <w:rsid w:val="6F934395"/>
    <w:rsid w:val="6FB25B1F"/>
    <w:rsid w:val="6FE86B09"/>
    <w:rsid w:val="6FF33131"/>
    <w:rsid w:val="6FF39C7A"/>
    <w:rsid w:val="6FFF9A55"/>
    <w:rsid w:val="71E34163"/>
    <w:rsid w:val="71FF74DB"/>
    <w:rsid w:val="72736AE2"/>
    <w:rsid w:val="727796AC"/>
    <w:rsid w:val="74F7EE0A"/>
    <w:rsid w:val="757D3BF3"/>
    <w:rsid w:val="75BF8F54"/>
    <w:rsid w:val="75DFEE60"/>
    <w:rsid w:val="768A8881"/>
    <w:rsid w:val="770DA412"/>
    <w:rsid w:val="7758241F"/>
    <w:rsid w:val="77869FB3"/>
    <w:rsid w:val="77FA38B4"/>
    <w:rsid w:val="77FEA924"/>
    <w:rsid w:val="77FEFA8C"/>
    <w:rsid w:val="79CE0EAD"/>
    <w:rsid w:val="79DF68CF"/>
    <w:rsid w:val="79EE5FA9"/>
    <w:rsid w:val="79F60F69"/>
    <w:rsid w:val="7A9E8FF7"/>
    <w:rsid w:val="7ABF65E4"/>
    <w:rsid w:val="7ADB65C9"/>
    <w:rsid w:val="7AE7FEC8"/>
    <w:rsid w:val="7AFF7F8F"/>
    <w:rsid w:val="7B6F0C25"/>
    <w:rsid w:val="7B6FC6A2"/>
    <w:rsid w:val="7B7B417A"/>
    <w:rsid w:val="7BAB4570"/>
    <w:rsid w:val="7BEF2096"/>
    <w:rsid w:val="7BF72AA4"/>
    <w:rsid w:val="7BFF92EB"/>
    <w:rsid w:val="7BFFCC4C"/>
    <w:rsid w:val="7BFFF2D8"/>
    <w:rsid w:val="7C7FA48F"/>
    <w:rsid w:val="7D5F4D94"/>
    <w:rsid w:val="7D7FECD9"/>
    <w:rsid w:val="7DDA3C69"/>
    <w:rsid w:val="7DFE6FCE"/>
    <w:rsid w:val="7DFF3F3F"/>
    <w:rsid w:val="7DFF9496"/>
    <w:rsid w:val="7E7D3396"/>
    <w:rsid w:val="7ED31B47"/>
    <w:rsid w:val="7EDA20A3"/>
    <w:rsid w:val="7EDFFA74"/>
    <w:rsid w:val="7EEE1979"/>
    <w:rsid w:val="7EEFE05F"/>
    <w:rsid w:val="7EF9AA91"/>
    <w:rsid w:val="7EFB239A"/>
    <w:rsid w:val="7F2FB2D1"/>
    <w:rsid w:val="7F39C10D"/>
    <w:rsid w:val="7F6A2A38"/>
    <w:rsid w:val="7F772714"/>
    <w:rsid w:val="7F7F1278"/>
    <w:rsid w:val="7F7F7EBA"/>
    <w:rsid w:val="7F8FE937"/>
    <w:rsid w:val="7F9F27B8"/>
    <w:rsid w:val="7FAE1BAB"/>
    <w:rsid w:val="7FB7808C"/>
    <w:rsid w:val="7FBFCFE3"/>
    <w:rsid w:val="7FC1485C"/>
    <w:rsid w:val="7FCDD25B"/>
    <w:rsid w:val="7FD8D459"/>
    <w:rsid w:val="7FDF3FDF"/>
    <w:rsid w:val="7FED92F4"/>
    <w:rsid w:val="7FEFA55C"/>
    <w:rsid w:val="7FF642D2"/>
    <w:rsid w:val="7FF65E97"/>
    <w:rsid w:val="7FF76A2A"/>
    <w:rsid w:val="7FFB3D65"/>
    <w:rsid w:val="7FFBB531"/>
    <w:rsid w:val="7FFDB9C3"/>
    <w:rsid w:val="7FFDD2F5"/>
    <w:rsid w:val="7FFDF424"/>
    <w:rsid w:val="7FFE62FD"/>
    <w:rsid w:val="7FFFDDB0"/>
    <w:rsid w:val="8EFF4B2E"/>
    <w:rsid w:val="8FFD0830"/>
    <w:rsid w:val="91BEA41D"/>
    <w:rsid w:val="9DB7EDCD"/>
    <w:rsid w:val="9DFE18A2"/>
    <w:rsid w:val="9E57BE43"/>
    <w:rsid w:val="9EEF75D8"/>
    <w:rsid w:val="9EF74895"/>
    <w:rsid w:val="9FDCEADF"/>
    <w:rsid w:val="9FFE2784"/>
    <w:rsid w:val="A1E7FD81"/>
    <w:rsid w:val="A6BE0A66"/>
    <w:rsid w:val="A7FDC8E4"/>
    <w:rsid w:val="AB37103F"/>
    <w:rsid w:val="AEB752C9"/>
    <w:rsid w:val="AEDFC0D4"/>
    <w:rsid w:val="AF3BD1A7"/>
    <w:rsid w:val="AFB7569C"/>
    <w:rsid w:val="AFCEFFC3"/>
    <w:rsid w:val="B1AF936C"/>
    <w:rsid w:val="B1FF6B2E"/>
    <w:rsid w:val="B26F025A"/>
    <w:rsid w:val="B3AB4C9A"/>
    <w:rsid w:val="B3DD4BA0"/>
    <w:rsid w:val="B4FFD7E9"/>
    <w:rsid w:val="B6277733"/>
    <w:rsid w:val="B65307AA"/>
    <w:rsid w:val="B7790F00"/>
    <w:rsid w:val="B82D7B2E"/>
    <w:rsid w:val="BBD7C619"/>
    <w:rsid w:val="BBF76EFD"/>
    <w:rsid w:val="BD70509D"/>
    <w:rsid w:val="BDEE2A95"/>
    <w:rsid w:val="BDF383AB"/>
    <w:rsid w:val="BDFF8379"/>
    <w:rsid w:val="BEFA3562"/>
    <w:rsid w:val="BEFB3FC9"/>
    <w:rsid w:val="BF6F2BE6"/>
    <w:rsid w:val="BF75F4A5"/>
    <w:rsid w:val="BF775F84"/>
    <w:rsid w:val="BF8D7D8F"/>
    <w:rsid w:val="BF9F8EAC"/>
    <w:rsid w:val="BFD5845C"/>
    <w:rsid w:val="BFD7BB4A"/>
    <w:rsid w:val="BFFB078C"/>
    <w:rsid w:val="BFFBCA1E"/>
    <w:rsid w:val="BFFE1A52"/>
    <w:rsid w:val="BFFF11EB"/>
    <w:rsid w:val="BFFF57ED"/>
    <w:rsid w:val="BFFF95F1"/>
    <w:rsid w:val="C5F7A99E"/>
    <w:rsid w:val="C67D7119"/>
    <w:rsid w:val="C7777CE0"/>
    <w:rsid w:val="C7FD9AF8"/>
    <w:rsid w:val="CBF71715"/>
    <w:rsid w:val="CBFAB2E4"/>
    <w:rsid w:val="CD5E1D8A"/>
    <w:rsid w:val="CD6FD4A9"/>
    <w:rsid w:val="CDDB8E27"/>
    <w:rsid w:val="CE66370A"/>
    <w:rsid w:val="CFAFB4FB"/>
    <w:rsid w:val="CFDF423D"/>
    <w:rsid w:val="CFF38EB3"/>
    <w:rsid w:val="CFFFE31B"/>
    <w:rsid w:val="D65F1650"/>
    <w:rsid w:val="D75F925D"/>
    <w:rsid w:val="D7786B89"/>
    <w:rsid w:val="D77F2876"/>
    <w:rsid w:val="D7B56034"/>
    <w:rsid w:val="D7BDB633"/>
    <w:rsid w:val="D7F436B0"/>
    <w:rsid w:val="D9A52A1F"/>
    <w:rsid w:val="D9BFAFF1"/>
    <w:rsid w:val="D9F737EB"/>
    <w:rsid w:val="DA350CD5"/>
    <w:rsid w:val="DAFC8788"/>
    <w:rsid w:val="DC356291"/>
    <w:rsid w:val="DD6F7EEA"/>
    <w:rsid w:val="DDBCD4FF"/>
    <w:rsid w:val="DDFC6608"/>
    <w:rsid w:val="DDFDF578"/>
    <w:rsid w:val="DE7B3C5A"/>
    <w:rsid w:val="DF6D2F36"/>
    <w:rsid w:val="DF9F8561"/>
    <w:rsid w:val="DFBDF3B7"/>
    <w:rsid w:val="DFBE0E1E"/>
    <w:rsid w:val="DFCF0B06"/>
    <w:rsid w:val="DFD6CA72"/>
    <w:rsid w:val="DFDCB815"/>
    <w:rsid w:val="DFE63D33"/>
    <w:rsid w:val="DFF3B511"/>
    <w:rsid w:val="DFF54563"/>
    <w:rsid w:val="DFFE483A"/>
    <w:rsid w:val="E5BEE224"/>
    <w:rsid w:val="E67F5647"/>
    <w:rsid w:val="E769F4ED"/>
    <w:rsid w:val="E7D7F3D2"/>
    <w:rsid w:val="E7E41D2C"/>
    <w:rsid w:val="E83F81C6"/>
    <w:rsid w:val="EA539E43"/>
    <w:rsid w:val="EACB987D"/>
    <w:rsid w:val="EB57E789"/>
    <w:rsid w:val="EBB5F2D5"/>
    <w:rsid w:val="EBD7981A"/>
    <w:rsid w:val="EBDE5C87"/>
    <w:rsid w:val="EBFD1900"/>
    <w:rsid w:val="ECBB0DA5"/>
    <w:rsid w:val="ED7FAB3F"/>
    <w:rsid w:val="EF388317"/>
    <w:rsid w:val="EF676C35"/>
    <w:rsid w:val="EF794FA8"/>
    <w:rsid w:val="EFB6CB4A"/>
    <w:rsid w:val="EFE7AA81"/>
    <w:rsid w:val="EFEBDA84"/>
    <w:rsid w:val="F1BD7539"/>
    <w:rsid w:val="F27ECE5E"/>
    <w:rsid w:val="F37FDDC2"/>
    <w:rsid w:val="F3DF52E7"/>
    <w:rsid w:val="F3F35426"/>
    <w:rsid w:val="F3FBC31A"/>
    <w:rsid w:val="F3FEC0C8"/>
    <w:rsid w:val="F51F8320"/>
    <w:rsid w:val="F5BB8A83"/>
    <w:rsid w:val="F5DDB3C4"/>
    <w:rsid w:val="F65F2A71"/>
    <w:rsid w:val="F6DF1F81"/>
    <w:rsid w:val="F6F04072"/>
    <w:rsid w:val="F7759A12"/>
    <w:rsid w:val="F7BEED2E"/>
    <w:rsid w:val="F7BF677A"/>
    <w:rsid w:val="F7DDD6C1"/>
    <w:rsid w:val="F7E51203"/>
    <w:rsid w:val="F7EF9092"/>
    <w:rsid w:val="F7F35826"/>
    <w:rsid w:val="F7F645A2"/>
    <w:rsid w:val="F7F7353D"/>
    <w:rsid w:val="F7FE8DC5"/>
    <w:rsid w:val="F7FFD171"/>
    <w:rsid w:val="F8B6E9EC"/>
    <w:rsid w:val="F97FB00E"/>
    <w:rsid w:val="F9FDB26C"/>
    <w:rsid w:val="FB7EA2A6"/>
    <w:rsid w:val="FBBD02F7"/>
    <w:rsid w:val="FBBDCC19"/>
    <w:rsid w:val="FBBFC93E"/>
    <w:rsid w:val="FBCE968C"/>
    <w:rsid w:val="FBCF5F11"/>
    <w:rsid w:val="FBE7499F"/>
    <w:rsid w:val="FBEFC4A2"/>
    <w:rsid w:val="FBF1D198"/>
    <w:rsid w:val="FD5B978E"/>
    <w:rsid w:val="FD7D2CAA"/>
    <w:rsid w:val="FD96B62F"/>
    <w:rsid w:val="FDBFD20A"/>
    <w:rsid w:val="FDD19849"/>
    <w:rsid w:val="FDE732E2"/>
    <w:rsid w:val="FDE7E9F5"/>
    <w:rsid w:val="FDFB22BD"/>
    <w:rsid w:val="FDFB6B90"/>
    <w:rsid w:val="FDFF068D"/>
    <w:rsid w:val="FE5CA95F"/>
    <w:rsid w:val="FE797E4E"/>
    <w:rsid w:val="FEBBC6A9"/>
    <w:rsid w:val="FEE7CABA"/>
    <w:rsid w:val="FEEF6BFF"/>
    <w:rsid w:val="FEEF883C"/>
    <w:rsid w:val="FEF565D6"/>
    <w:rsid w:val="FEF56A4D"/>
    <w:rsid w:val="FEFB59D3"/>
    <w:rsid w:val="FEFFDCCB"/>
    <w:rsid w:val="FF264D7B"/>
    <w:rsid w:val="FF2F2612"/>
    <w:rsid w:val="FF5EFF81"/>
    <w:rsid w:val="FF6EBDEF"/>
    <w:rsid w:val="FF6F0523"/>
    <w:rsid w:val="FF756811"/>
    <w:rsid w:val="FF7F1AA2"/>
    <w:rsid w:val="FF7F37DC"/>
    <w:rsid w:val="FF7F3CA5"/>
    <w:rsid w:val="FF7FC78B"/>
    <w:rsid w:val="FF971FEB"/>
    <w:rsid w:val="FF9FE5DE"/>
    <w:rsid w:val="FFABDDC0"/>
    <w:rsid w:val="FFAF81D0"/>
    <w:rsid w:val="FFB61E27"/>
    <w:rsid w:val="FFBF8AA6"/>
    <w:rsid w:val="FFD1C8D4"/>
    <w:rsid w:val="FFD7AC2D"/>
    <w:rsid w:val="FFDBC49A"/>
    <w:rsid w:val="FFDBD511"/>
    <w:rsid w:val="FFDF5123"/>
    <w:rsid w:val="FFEE1C67"/>
    <w:rsid w:val="FFF21D3E"/>
    <w:rsid w:val="FFF787DF"/>
    <w:rsid w:val="FFFB77CC"/>
    <w:rsid w:val="FFFD4E6B"/>
    <w:rsid w:val="FFFEDF7D"/>
    <w:rsid w:val="FFFF0802"/>
    <w:rsid w:val="FFFF3EF1"/>
    <w:rsid w:val="FFFF7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 w:locked="1"/>
    <w:lsdException w:qFormat="1" w:uiPriority="9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 w:eastAsia="黑体" w:cs="Times New Roman"/>
      <w:kern w:val="44"/>
      <w:sz w:val="32"/>
    </w:rPr>
  </w:style>
  <w:style w:type="paragraph" w:styleId="4">
    <w:name w:val="heading 2"/>
    <w:basedOn w:val="1"/>
    <w:next w:val="1"/>
    <w:link w:val="19"/>
    <w:qFormat/>
    <w:uiPriority w:val="9"/>
    <w:pPr>
      <w:keepNext/>
      <w:keepLines/>
      <w:spacing w:line="600" w:lineRule="exact"/>
      <w:ind w:firstLine="883" w:firstLineChars="200"/>
      <w:outlineLvl w:val="1"/>
    </w:pPr>
    <w:rPr>
      <w:rFonts w:ascii="Arial" w:hAnsi="Arial" w:eastAsia="黑体"/>
      <w:sz w:val="34"/>
    </w:rPr>
  </w:style>
  <w:style w:type="paragraph" w:styleId="5">
    <w:name w:val="heading 3"/>
    <w:basedOn w:val="1"/>
    <w:next w:val="1"/>
    <w:link w:val="20"/>
    <w:qFormat/>
    <w:uiPriority w:val="9"/>
    <w:pPr>
      <w:keepNext/>
      <w:keepLines/>
      <w:spacing w:line="600" w:lineRule="exact"/>
      <w:ind w:firstLine="883" w:firstLineChars="200"/>
      <w:outlineLvl w:val="2"/>
    </w:pPr>
    <w:rPr>
      <w:rFonts w:eastAsia="楷体_GB2312"/>
      <w:sz w:val="34"/>
    </w:rPr>
  </w:style>
  <w:style w:type="paragraph" w:styleId="6">
    <w:name w:val="heading 4"/>
    <w:basedOn w:val="1"/>
    <w:next w:val="1"/>
    <w:link w:val="21"/>
    <w:qFormat/>
    <w:uiPriority w:val="9"/>
    <w:pPr>
      <w:keepNext/>
      <w:keepLines/>
      <w:spacing w:line="600" w:lineRule="exact"/>
      <w:ind w:firstLine="883" w:firstLineChars="200"/>
      <w:outlineLvl w:val="3"/>
    </w:pPr>
    <w:rPr>
      <w:rFonts w:ascii="Arial" w:hAnsi="Arial" w:eastAsia="仿宋_GB2312"/>
      <w:b/>
      <w:sz w:val="34"/>
    </w:rPr>
  </w:style>
  <w:style w:type="paragraph" w:styleId="7">
    <w:name w:val="heading 5"/>
    <w:basedOn w:val="1"/>
    <w:next w:val="1"/>
    <w:link w:val="22"/>
    <w:qFormat/>
    <w:uiPriority w:val="9"/>
    <w:pPr>
      <w:keepNext/>
      <w:keepLines/>
      <w:spacing w:line="600" w:lineRule="exact"/>
      <w:ind w:firstLine="883" w:firstLineChars="200"/>
      <w:outlineLvl w:val="4"/>
    </w:pPr>
    <w:rPr>
      <w:rFonts w:eastAsia="仿宋_GB2312"/>
      <w:sz w:val="34"/>
    </w:rPr>
  </w:style>
  <w:style w:type="paragraph" w:styleId="8">
    <w:name w:val="heading 6"/>
    <w:basedOn w:val="1"/>
    <w:next w:val="1"/>
    <w:link w:val="23"/>
    <w:qFormat/>
    <w:uiPriority w:val="9"/>
    <w:pPr>
      <w:keepNext/>
      <w:keepLines/>
      <w:spacing w:line="600" w:lineRule="exact"/>
      <w:ind w:firstLine="883" w:firstLineChars="200"/>
      <w:outlineLvl w:val="5"/>
    </w:pPr>
    <w:rPr>
      <w:rFonts w:ascii="Arial" w:hAnsi="Arial" w:eastAsia="仿宋_GB2312"/>
      <w:sz w:val="34"/>
    </w:rPr>
  </w:style>
  <w:style w:type="paragraph" w:styleId="9">
    <w:name w:val="heading 7"/>
    <w:basedOn w:val="1"/>
    <w:next w:val="1"/>
    <w:link w:val="24"/>
    <w:qFormat/>
    <w:uiPriority w:val="9"/>
    <w:pPr>
      <w:keepNext/>
      <w:keepLines/>
      <w:spacing w:line="600" w:lineRule="exact"/>
      <w:ind w:firstLine="883" w:firstLineChars="200"/>
      <w:outlineLvl w:val="6"/>
    </w:pPr>
    <w:rPr>
      <w:rFonts w:eastAsia="仿宋_GB2312"/>
      <w:sz w:val="34"/>
    </w:rPr>
  </w:style>
  <w:style w:type="character" w:default="1" w:styleId="15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黑体" w:hAnsi="黑体" w:eastAsia="黑体" w:cs="黑体"/>
      <w:sz w:val="23"/>
      <w:szCs w:val="23"/>
      <w:lang w:val="en-US" w:eastAsia="en-US" w:bidi="ar-SA"/>
    </w:rPr>
  </w:style>
  <w:style w:type="paragraph" w:styleId="10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Title"/>
    <w:next w:val="1"/>
    <w:link w:val="27"/>
    <w:qFormat/>
    <w:locked/>
    <w:uiPriority w:val="10"/>
    <w:pPr>
      <w:widowControl w:val="0"/>
      <w:spacing w:line="620" w:lineRule="exact"/>
      <w:jc w:val="center"/>
    </w:pPr>
    <w:rPr>
      <w:rFonts w:ascii="方正小标宋简体" w:eastAsia="方正小标宋简体"/>
      <w:kern w:val="2"/>
      <w:sz w:val="44"/>
      <w:szCs w:val="44"/>
      <w:lang w:val="en-US" w:eastAsia="zh-CN" w:bidi="ar-SA"/>
    </w:rPr>
  </w:style>
  <w:style w:type="character" w:styleId="16">
    <w:name w:val="Strong"/>
    <w:basedOn w:val="15"/>
    <w:qFormat/>
    <w:uiPriority w:val="22"/>
    <w:rPr>
      <w:rFonts w:ascii="Times New Roman" w:hAnsi="Times New Roman" w:eastAsia="宋体" w:cs="Times New Roman"/>
      <w:b/>
    </w:rPr>
  </w:style>
  <w:style w:type="character" w:styleId="17">
    <w:name w:val="Emphasis"/>
    <w:basedOn w:val="15"/>
    <w:qFormat/>
    <w:locked/>
    <w:uiPriority w:val="20"/>
    <w:rPr>
      <w:rFonts w:ascii="Times New Roman" w:hAnsi="Times New Roman" w:eastAsia="宋体" w:cs="Times New Roman"/>
      <w:i/>
    </w:rPr>
  </w:style>
  <w:style w:type="character" w:customStyle="1" w:styleId="18">
    <w:name w:val="标题 1 Char"/>
    <w:basedOn w:val="15"/>
    <w:link w:val="3"/>
    <w:uiPriority w:val="9"/>
    <w:rPr>
      <w:rFonts w:ascii="Calibri" w:hAnsi="Calibri" w:eastAsia="黑体" w:cs="Times New Roman"/>
      <w:kern w:val="44"/>
      <w:sz w:val="32"/>
    </w:rPr>
  </w:style>
  <w:style w:type="character" w:customStyle="1" w:styleId="19">
    <w:name w:val="标题 2 Char"/>
    <w:basedOn w:val="15"/>
    <w:link w:val="4"/>
    <w:uiPriority w:val="9"/>
    <w:rPr>
      <w:rFonts w:ascii="Arial" w:hAnsi="Arial" w:eastAsia="黑体" w:cs="Times New Roman"/>
      <w:sz w:val="34"/>
    </w:rPr>
  </w:style>
  <w:style w:type="character" w:customStyle="1" w:styleId="20">
    <w:name w:val="标题 3 Char"/>
    <w:basedOn w:val="15"/>
    <w:link w:val="5"/>
    <w:uiPriority w:val="9"/>
    <w:rPr>
      <w:rFonts w:ascii="Times New Roman" w:hAnsi="Times New Roman" w:eastAsia="楷体_GB2312" w:cs="Times New Roman"/>
      <w:sz w:val="34"/>
    </w:rPr>
  </w:style>
  <w:style w:type="character" w:customStyle="1" w:styleId="21">
    <w:name w:val="标题 4 Char"/>
    <w:basedOn w:val="15"/>
    <w:link w:val="6"/>
    <w:uiPriority w:val="9"/>
    <w:rPr>
      <w:rFonts w:ascii="Arial" w:hAnsi="Arial" w:eastAsia="仿宋_GB2312" w:cs="Times New Roman"/>
      <w:b/>
      <w:sz w:val="34"/>
    </w:rPr>
  </w:style>
  <w:style w:type="character" w:customStyle="1" w:styleId="22">
    <w:name w:val="标题 5 Char"/>
    <w:basedOn w:val="15"/>
    <w:link w:val="7"/>
    <w:uiPriority w:val="9"/>
    <w:rPr>
      <w:rFonts w:ascii="Times New Roman" w:hAnsi="Times New Roman" w:eastAsia="仿宋_GB2312" w:cs="Times New Roman"/>
      <w:sz w:val="34"/>
    </w:rPr>
  </w:style>
  <w:style w:type="character" w:customStyle="1" w:styleId="23">
    <w:name w:val="标题 6 Char"/>
    <w:basedOn w:val="15"/>
    <w:link w:val="8"/>
    <w:uiPriority w:val="9"/>
    <w:rPr>
      <w:rFonts w:ascii="Arial" w:hAnsi="Arial" w:eastAsia="仿宋_GB2312" w:cs="Times New Roman"/>
      <w:sz w:val="34"/>
    </w:rPr>
  </w:style>
  <w:style w:type="character" w:customStyle="1" w:styleId="24">
    <w:name w:val="标题 7 Char"/>
    <w:basedOn w:val="15"/>
    <w:link w:val="9"/>
    <w:uiPriority w:val="9"/>
    <w:rPr>
      <w:rFonts w:ascii="Times New Roman" w:hAnsi="Times New Roman" w:eastAsia="仿宋_GB2312" w:cs="Times New Roman"/>
      <w:sz w:val="34"/>
    </w:rPr>
  </w:style>
  <w:style w:type="character" w:customStyle="1" w:styleId="25">
    <w:name w:val="页脚 字符"/>
    <w:basedOn w:val="15"/>
    <w:link w:val="10"/>
    <w:qFormat/>
    <w:uiPriority w:val="99"/>
    <w:rPr>
      <w:rFonts w:ascii="Calibri" w:hAnsi="Calibri" w:eastAsia="宋体" w:cs="Times New Roman"/>
      <w:sz w:val="18"/>
    </w:rPr>
  </w:style>
  <w:style w:type="character" w:customStyle="1" w:styleId="26">
    <w:name w:val="页眉 字符"/>
    <w:basedOn w:val="15"/>
    <w:link w:val="11"/>
    <w:qFormat/>
    <w:uiPriority w:val="99"/>
    <w:rPr>
      <w:rFonts w:ascii="Calibri" w:hAnsi="Calibri" w:eastAsia="宋体" w:cs="Times New Roman"/>
      <w:sz w:val="18"/>
    </w:rPr>
  </w:style>
  <w:style w:type="character" w:customStyle="1" w:styleId="27">
    <w:name w:val="标题 Char"/>
    <w:basedOn w:val="15"/>
    <w:link w:val="13"/>
    <w:qFormat/>
    <w:uiPriority w:val="10"/>
    <w:rPr>
      <w:rFonts w:ascii="方正小标宋简体" w:eastAsia="方正小标宋简体"/>
      <w:kern w:val="2"/>
      <w:sz w:val="44"/>
      <w:szCs w:val="44"/>
      <w:lang w:val="en-US" w:eastAsia="zh-CN" w:bidi="ar-SA"/>
    </w:rPr>
  </w:style>
  <w:style w:type="character" w:customStyle="1" w:styleId="28">
    <w:name w:val="页脚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15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WPSOffice手动目录 1"/>
    <w:uiPriority w:val="0"/>
    <w:rPr>
      <w:lang w:val="en-US" w:eastAsia="zh-CN" w:bidi="ar-SA"/>
    </w:rPr>
  </w:style>
  <w:style w:type="paragraph" w:customStyle="1" w:styleId="32">
    <w:name w:val="Heading1"/>
    <w:basedOn w:val="1"/>
    <w:next w:val="1"/>
    <w:qFormat/>
    <w:uiPriority w:val="0"/>
    <w:pPr>
      <w:spacing w:line="640" w:lineRule="exact"/>
      <w:ind w:firstLine="632" w:firstLineChars="200"/>
    </w:pPr>
    <w:rPr>
      <w:rFonts w:ascii="黑体" w:hAns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5653</Words>
  <Characters>5800</Characters>
  <Lines>105</Lines>
  <Paragraphs>29</Paragraphs>
  <TotalTime>36.3333333333333</TotalTime>
  <ScaleCrop>false</ScaleCrop>
  <LinksUpToDate>false</LinksUpToDate>
  <CharactersWithSpaces>5803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2024-09-30T17:13:00Z</dcterms:created>
  <dc:creator>陈宏宇</dc:creator>
  <cp:lastModifiedBy>岳雨</cp:lastModifiedBy>
  <cp:lastPrinted>2025-06-11T15:16:42Z</cp:lastPrinted>
  <dcterms:modified xsi:type="dcterms:W3CDTF">2025-06-12T08:11:00Z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7EDC370234FB4030AD380318CD4FDD40_13</vt:lpwstr>
  </property>
</Properties>
</file>